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i w:val="1"/>
          <w:sz w:val="22"/>
          <w:szCs w:val="22"/>
        </w:rPr>
      </w:pPr>
      <w:r w:rsidDel="00000000" w:rsidR="00000000" w:rsidRPr="00000000">
        <w:rPr>
          <w:rFonts w:ascii="Arial" w:cs="Arial" w:eastAsia="Arial" w:hAnsi="Arial"/>
          <w:b w:val="1"/>
          <w:rtl w:val="0"/>
        </w:rPr>
        <w:t xml:space="preserve">Total Protect presenta en UNLOCK25 su nueva plataforma de monitoreo y seguridad logística hecha en México</w:t>
      </w:r>
      <w:r w:rsidDel="00000000" w:rsidR="00000000" w:rsidRPr="00000000">
        <w:rPr>
          <w:rtl w:val="0"/>
        </w:rPr>
      </w:r>
    </w:p>
    <w:p w:rsidR="00000000" w:rsidDel="00000000" w:rsidP="00000000" w:rsidRDefault="00000000" w:rsidRPr="00000000" w14:paraId="00000002">
      <w:pPr>
        <w:numPr>
          <w:ilvl w:val="0"/>
          <w:numId w:val="2"/>
        </w:numPr>
        <w:spacing w:after="0" w:afterAutospacing="0" w:before="240" w:lineRule="auto"/>
        <w:ind w:left="720" w:hanging="360"/>
        <w:jc w:val="both"/>
        <w:rPr>
          <w:rFonts w:ascii="Arial" w:cs="Arial" w:eastAsia="Arial" w:hAnsi="Arial"/>
          <w:i w:val="1"/>
          <w:sz w:val="22"/>
          <w:szCs w:val="22"/>
          <w:u w:val="none"/>
        </w:rPr>
      </w:pPr>
      <w:r w:rsidDel="00000000" w:rsidR="00000000" w:rsidRPr="00000000">
        <w:rPr>
          <w:rFonts w:ascii="Arial" w:cs="Arial" w:eastAsia="Arial" w:hAnsi="Arial"/>
          <w:i w:val="1"/>
          <w:sz w:val="22"/>
          <w:szCs w:val="22"/>
          <w:rtl w:val="0"/>
        </w:rPr>
        <w:t xml:space="preserve">UNLOCK25 se consolida como el evento anual de innovación de Total Protect, presentando la nueva Plataforma de Monitoreo hecha en México con visión LATAM para anticipar riesgos y reforzar la seguridad logística.</w:t>
      </w:r>
    </w:p>
    <w:p w:rsidR="00000000" w:rsidDel="00000000" w:rsidP="00000000" w:rsidRDefault="00000000" w:rsidRPr="00000000" w14:paraId="00000003">
      <w:pPr>
        <w:numPr>
          <w:ilvl w:val="0"/>
          <w:numId w:val="2"/>
        </w:numPr>
        <w:spacing w:after="240" w:before="0" w:beforeAutospacing="0" w:lineRule="auto"/>
        <w:ind w:left="720" w:hanging="360"/>
        <w:jc w:val="both"/>
        <w:rPr>
          <w:rFonts w:ascii="Arial" w:cs="Arial" w:eastAsia="Arial" w:hAnsi="Arial"/>
          <w:i w:val="1"/>
          <w:sz w:val="22"/>
          <w:szCs w:val="22"/>
          <w:u w:val="none"/>
        </w:rPr>
      </w:pPr>
      <w:r w:rsidDel="00000000" w:rsidR="00000000" w:rsidRPr="00000000">
        <w:rPr>
          <w:rFonts w:ascii="Arial" w:cs="Arial" w:eastAsia="Arial" w:hAnsi="Arial"/>
          <w:i w:val="1"/>
          <w:sz w:val="22"/>
          <w:szCs w:val="22"/>
          <w:rtl w:val="0"/>
        </w:rPr>
        <w:t xml:space="preserve">La solución integra arquitectura modular, alertas inteligentes y un enfoque V2X que conecta vehículos, sensores y operación central, complementada por cuatro desarrollos adicionales que fortalecen la eficiencia y protección de flotillas en un entorno de riesgos crecientes.</w:t>
      </w:r>
    </w:p>
    <w:p w:rsidR="00000000" w:rsidDel="00000000" w:rsidP="00000000" w:rsidRDefault="00000000" w:rsidRPr="00000000" w14:paraId="00000004">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10 de septiembre de 2025.</w:t>
      </w:r>
      <w:r w:rsidDel="00000000" w:rsidR="00000000" w:rsidRPr="00000000">
        <w:rPr>
          <w:rFonts w:ascii="Arial" w:cs="Arial" w:eastAsia="Arial" w:hAnsi="Arial"/>
          <w:sz w:val="22"/>
          <w:szCs w:val="22"/>
          <w:rtl w:val="0"/>
        </w:rPr>
        <w:t xml:space="preserve"> En un país donde el robo al transporte de carga sigue siendo una de las principales amenazas logísticas, con más de 9,000 incidentes anuales según cifras oficiales, la tecnología se ha convertido en un aliado esencial para anticipar riesgos y proteger a conductores, vehículos y mercancías.</w:t>
      </w:r>
    </w:p>
    <w:p w:rsidR="00000000" w:rsidDel="00000000" w:rsidP="00000000" w:rsidRDefault="00000000" w:rsidRPr="00000000" w14:paraId="00000005">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rtl w:val="0"/>
        </w:rPr>
        <w:t xml:space="preserve">n este contexto, </w:t>
      </w:r>
      <w:r w:rsidDel="00000000" w:rsidR="00000000" w:rsidRPr="00000000">
        <w:rPr>
          <w:rFonts w:ascii="Arial" w:cs="Arial" w:eastAsia="Arial" w:hAnsi="Arial"/>
          <w:b w:val="1"/>
          <w:sz w:val="22"/>
          <w:szCs w:val="22"/>
          <w:rtl w:val="0"/>
        </w:rPr>
        <w:t xml:space="preserve">Total Protect celebró UNLOCK25</w:t>
      </w:r>
      <w:r w:rsidDel="00000000" w:rsidR="00000000" w:rsidRPr="00000000">
        <w:rPr>
          <w:rFonts w:ascii="Arial" w:cs="Arial" w:eastAsia="Arial" w:hAnsi="Arial"/>
          <w:sz w:val="22"/>
          <w:szCs w:val="22"/>
          <w:rtl w:val="0"/>
        </w:rPr>
        <w:t xml:space="preserve">, evento anual de innovación, donde la compañía presentó la </w:t>
      </w:r>
      <w:r w:rsidDel="00000000" w:rsidR="00000000" w:rsidRPr="00000000">
        <w:rPr>
          <w:rFonts w:ascii="Arial" w:cs="Arial" w:eastAsia="Arial" w:hAnsi="Arial"/>
          <w:b w:val="1"/>
          <w:sz w:val="22"/>
          <w:szCs w:val="22"/>
          <w:rtl w:val="0"/>
        </w:rPr>
        <w:t xml:space="preserve">nueva</w:t>
      </w:r>
      <w:r w:rsidDel="00000000" w:rsidR="00000000" w:rsidRPr="00000000">
        <w:rPr>
          <w:rFonts w:ascii="Arial" w:cs="Arial" w:eastAsia="Arial" w:hAnsi="Arial"/>
          <w:b w:val="1"/>
          <w:i w:val="1"/>
          <w:sz w:val="22"/>
          <w:szCs w:val="22"/>
          <w:rtl w:val="0"/>
        </w:rPr>
        <w:t xml:space="preserve"> Plataforma Tecnológica de Monitoreo</w:t>
      </w:r>
      <w:r w:rsidDel="00000000" w:rsidR="00000000" w:rsidRPr="00000000">
        <w:rPr>
          <w:rFonts w:ascii="Arial" w:cs="Arial" w:eastAsia="Arial" w:hAnsi="Arial"/>
          <w:b w:val="1"/>
          <w:sz w:val="22"/>
          <w:szCs w:val="22"/>
          <w:rtl w:val="0"/>
        </w:rPr>
        <w:t xml:space="preserve">, un desarrollo 100% hecho en México con visión LATAM que marca un parteaguas en la operación de flotillas.</w:t>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nueva plataforma se distingue por su arquitectura modular y escalable, dashboards personalizables, alertas inteligentes y navegación centralizada, bajo un enfoque V2X (Vehicle-to-Everything) que conecta vehículos, sensores y operación central para anticipar riesgos en tiempo real. Esta innovación coloca a Total Protect un paso adelante frente a soluciones globales poco adaptadas al contexto local, reforzando su compromiso de ofrecer tecnología diseñada para los riesgos del transporte en México.</w:t>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“El mercado mexicano no puede esperar soluciones globales mal adaptadas. Necesita tecnología hecha aquí, con el conocimiento del riesgo local. UNLOCK25 es el momento exacto en que activamos esa nueva generación de soluciones”</w:t>
      </w:r>
      <w:r w:rsidDel="00000000" w:rsidR="00000000" w:rsidRPr="00000000">
        <w:rPr>
          <w:rFonts w:ascii="Arial" w:cs="Arial" w:eastAsia="Arial" w:hAnsi="Arial"/>
          <w:sz w:val="22"/>
          <w:szCs w:val="22"/>
          <w:rtl w:val="0"/>
        </w:rPr>
        <w:t xml:space="preserve">, afirmó María de los Ángeles Useche Serrano, directora comercial de Total Protect.</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 la plataforma, la compañía presentó </w:t>
      </w:r>
      <w:r w:rsidDel="00000000" w:rsidR="00000000" w:rsidRPr="00000000">
        <w:rPr>
          <w:rFonts w:ascii="Arial" w:cs="Arial" w:eastAsia="Arial" w:hAnsi="Arial"/>
          <w:b w:val="1"/>
          <w:sz w:val="22"/>
          <w:szCs w:val="22"/>
          <w:rtl w:val="0"/>
        </w:rPr>
        <w:t xml:space="preserve">cuatro productos complementarios listos para pruebas piloto</w:t>
      </w:r>
      <w:r w:rsidDel="00000000" w:rsidR="00000000" w:rsidRPr="00000000">
        <w:rPr>
          <w:rFonts w:ascii="Arial" w:cs="Arial" w:eastAsia="Arial" w:hAnsi="Arial"/>
          <w:sz w:val="22"/>
          <w:szCs w:val="22"/>
          <w:rtl w:val="0"/>
        </w:rPr>
        <w:t xml:space="preserve">, que fortalecen la seguridad y eficiencia operativa:</w:t>
      </w:r>
    </w:p>
    <w:p w:rsidR="00000000" w:rsidDel="00000000" w:rsidP="00000000" w:rsidRDefault="00000000" w:rsidRPr="00000000" w14:paraId="00000009">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Protect Video Pro</w:t>
      </w:r>
      <w:r w:rsidDel="00000000" w:rsidR="00000000" w:rsidRPr="00000000">
        <w:rPr>
          <w:rFonts w:ascii="Arial" w:cs="Arial" w:eastAsia="Arial" w:hAnsi="Arial"/>
          <w:sz w:val="22"/>
          <w:szCs w:val="22"/>
          <w:rtl w:val="0"/>
        </w:rPr>
        <w:t xml:space="preserve">, un sistema de videovigilancia inteligente con </w:t>
      </w:r>
      <w:r w:rsidDel="00000000" w:rsidR="00000000" w:rsidRPr="00000000">
        <w:rPr>
          <w:rFonts w:ascii="Arial" w:cs="Arial" w:eastAsia="Arial" w:hAnsi="Arial"/>
          <w:i w:val="1"/>
          <w:sz w:val="22"/>
          <w:szCs w:val="22"/>
          <w:rtl w:val="0"/>
        </w:rPr>
        <w:t xml:space="preserve">snapshots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miniclips</w:t>
      </w:r>
      <w:r w:rsidDel="00000000" w:rsidR="00000000" w:rsidRPr="00000000">
        <w:rPr>
          <w:rFonts w:ascii="Arial" w:cs="Arial" w:eastAsia="Arial" w:hAnsi="Arial"/>
          <w:sz w:val="22"/>
          <w:szCs w:val="22"/>
          <w:rtl w:val="0"/>
        </w:rPr>
        <w:t xml:space="preserve"> y alertas optimizadas.</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Cámara de Reversa (Add-on)</w:t>
      </w:r>
      <w:r w:rsidDel="00000000" w:rsidR="00000000" w:rsidRPr="00000000">
        <w:rPr>
          <w:rFonts w:ascii="Arial" w:cs="Arial" w:eastAsia="Arial" w:hAnsi="Arial"/>
          <w:sz w:val="22"/>
          <w:szCs w:val="22"/>
          <w:rtl w:val="0"/>
        </w:rPr>
        <w:t xml:space="preserve"> para mejorar la seguridad en maniobras y trayectos.</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Sensor de Combustible</w:t>
      </w:r>
      <w:r w:rsidDel="00000000" w:rsidR="00000000" w:rsidRPr="00000000">
        <w:rPr>
          <w:rFonts w:ascii="Arial" w:cs="Arial" w:eastAsia="Arial" w:hAnsi="Arial"/>
          <w:sz w:val="22"/>
          <w:szCs w:val="22"/>
          <w:rtl w:val="0"/>
        </w:rPr>
        <w:t xml:space="preserve">, que combina hardware físico y monitoreo digital integrado.</w:t>
      </w:r>
    </w:p>
    <w:p w:rsidR="00000000" w:rsidDel="00000000" w:rsidP="00000000" w:rsidRDefault="00000000" w:rsidRPr="00000000" w14:paraId="0000000C">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Cerradura Electrónica (Add-on)</w:t>
      </w:r>
      <w:r w:rsidDel="00000000" w:rsidR="00000000" w:rsidRPr="00000000">
        <w:rPr>
          <w:rFonts w:ascii="Arial" w:cs="Arial" w:eastAsia="Arial" w:hAnsi="Arial"/>
          <w:sz w:val="22"/>
          <w:szCs w:val="22"/>
          <w:rtl w:val="0"/>
        </w:rPr>
        <w:t xml:space="preserve"> con control remoto desde la plataforma.</w:t>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más de 34 mil traslados monitoreados al año y una tasa de recuperación del 99%, Total Protect ha demostrado su efectividad en la reacción y protección de las flotillas. Ahora, con la nueva plataforma de monitoreo y el ecosistema de soluciones, la empresa da un paso más: </w:t>
      </w:r>
      <w:r w:rsidDel="00000000" w:rsidR="00000000" w:rsidRPr="00000000">
        <w:rPr>
          <w:rFonts w:ascii="Arial" w:cs="Arial" w:eastAsia="Arial" w:hAnsi="Arial"/>
          <w:b w:val="1"/>
          <w:sz w:val="22"/>
          <w:szCs w:val="22"/>
          <w:rtl w:val="0"/>
        </w:rPr>
        <w:t xml:space="preserve">pasar de reaccionar a anticipar</w:t>
      </w:r>
      <w:r w:rsidDel="00000000" w:rsidR="00000000" w:rsidRPr="00000000">
        <w:rPr>
          <w:rFonts w:ascii="Arial" w:cs="Arial" w:eastAsia="Arial" w:hAnsi="Arial"/>
          <w:sz w:val="22"/>
          <w:szCs w:val="22"/>
          <w:rtl w:val="0"/>
        </w:rPr>
        <w:t xml:space="preserve">, acompañando a las flotillas en su proceso de transformación digital.</w:t>
      </w:r>
    </w:p>
    <w:p w:rsidR="00000000" w:rsidDel="00000000" w:rsidP="00000000" w:rsidRDefault="00000000" w:rsidRPr="00000000" w14:paraId="0000000E">
      <w:pPr>
        <w:spacing w:after="240" w:before="24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Más que la presentación de nuevos productos, </w:t>
      </w:r>
      <w:r w:rsidDel="00000000" w:rsidR="00000000" w:rsidRPr="00000000">
        <w:rPr>
          <w:rFonts w:ascii="Arial" w:cs="Arial" w:eastAsia="Arial" w:hAnsi="Arial"/>
          <w:b w:val="1"/>
          <w:sz w:val="22"/>
          <w:szCs w:val="22"/>
          <w:rtl w:val="0"/>
        </w:rPr>
        <w:t xml:space="preserve">UNLOCK25 simboliza el inicio de una nueva etapa tecnológica para Total Protect y para la logística en México</w:t>
      </w:r>
      <w:r w:rsidDel="00000000" w:rsidR="00000000" w:rsidRPr="00000000">
        <w:rPr>
          <w:rFonts w:ascii="Arial" w:cs="Arial" w:eastAsia="Arial" w:hAnsi="Arial"/>
          <w:sz w:val="22"/>
          <w:szCs w:val="22"/>
          <w:rtl w:val="0"/>
        </w:rPr>
        <w:t xml:space="preserve">: operar con datos, visibilidad total y capacidad de anticipación ya no es opcional, sino una exigencia del mercado.</w:t>
      </w:r>
      <w:r w:rsidDel="00000000" w:rsidR="00000000" w:rsidRPr="00000000">
        <w:rPr>
          <w:rtl w:val="0"/>
        </w:rPr>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“UNLOCK25 marca el inicio de una nueva etapa: no sólo reaccionar a los riesgos, sino anticiparlos. Con tecnología local, visión logística y un enfoque V2X, Total Protect reafirma su compromiso de transformar la seguridad en el transporte mexicano”, </w:t>
      </w:r>
      <w:r w:rsidDel="00000000" w:rsidR="00000000" w:rsidRPr="00000000">
        <w:rPr>
          <w:rFonts w:ascii="Arial" w:cs="Arial" w:eastAsia="Arial" w:hAnsi="Arial"/>
          <w:sz w:val="22"/>
          <w:szCs w:val="22"/>
          <w:rtl w:val="0"/>
        </w:rPr>
        <w:t xml:space="preserve">concluyó Useche Serrano.</w:t>
      </w:r>
    </w:p>
    <w:p w:rsidR="00000000" w:rsidDel="00000000" w:rsidP="00000000" w:rsidRDefault="00000000" w:rsidRPr="00000000" w14:paraId="00000010">
      <w:pPr>
        <w:spacing w:after="240" w:befor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.oOo.</w:t>
      </w:r>
    </w:p>
    <w:p w:rsidR="00000000" w:rsidDel="00000000" w:rsidP="00000000" w:rsidRDefault="00000000" w:rsidRPr="00000000" w14:paraId="00000011">
      <w:pPr>
        <w:spacing w:after="240" w:before="240" w:lineRule="auto"/>
        <w:jc w:val="left"/>
        <w:rPr>
          <w:rFonts w:ascii="Arial" w:cs="Arial" w:eastAsia="Arial" w:hAnsi="Arial"/>
          <w:sz w:val="16"/>
          <w:szCs w:val="16"/>
        </w:rPr>
      </w:pPr>
      <w:r w:rsidDel="00000000" w:rsidR="00000000" w:rsidRPr="00000000">
        <w:rPr>
          <w:rFonts w:ascii="Arial" w:cs="Arial" w:eastAsia="Arial" w:hAnsi="Arial"/>
          <w:b w:val="1"/>
          <w:i w:val="0"/>
          <w:strike w:val="0"/>
          <w:color w:val="000000"/>
          <w:sz w:val="16"/>
          <w:szCs w:val="16"/>
          <w:u w:val="none"/>
          <w:rtl w:val="0"/>
        </w:rPr>
        <w:t xml:space="preserve">Sobre </w:t>
      </w:r>
      <w:hyperlink r:id="rId7">
        <w:r w:rsidDel="00000000" w:rsidR="00000000" w:rsidRPr="00000000">
          <w:rPr>
            <w:rFonts w:ascii="Arial" w:cs="Arial" w:eastAsia="Arial" w:hAnsi="Arial"/>
            <w:b w:val="1"/>
            <w:i w:val="0"/>
            <w:strike w:val="0"/>
            <w:color w:val="467886"/>
            <w:sz w:val="16"/>
            <w:szCs w:val="16"/>
            <w:u w:val="none"/>
            <w:rtl w:val="0"/>
          </w:rPr>
          <w:t xml:space="preserve">Total Protect.</w:t>
        </w:r>
      </w:hyperlink>
      <w:r w:rsidDel="00000000" w:rsidR="00000000" w:rsidRPr="00000000">
        <w:rPr>
          <w:rtl w:val="0"/>
        </w:rPr>
      </w:r>
    </w:p>
    <w:p w:rsidR="00000000" w:rsidDel="00000000" w:rsidP="00000000" w:rsidRDefault="00000000" w:rsidRPr="00000000" w14:paraId="00000012">
      <w:pPr>
        <w:spacing w:after="16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0"/>
          <w:i w:val="0"/>
          <w:strike w:val="0"/>
          <w:color w:val="000000"/>
          <w:sz w:val="16"/>
          <w:szCs w:val="16"/>
          <w:u w:val="none"/>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 </w:t>
      </w:r>
      <w:hyperlink r:id="rId8">
        <w:r w:rsidDel="00000000" w:rsidR="00000000" w:rsidRPr="00000000">
          <w:rPr>
            <w:rFonts w:ascii="Arial" w:cs="Arial" w:eastAsia="Arial" w:hAnsi="Arial"/>
            <w:b w:val="0"/>
            <w:i w:val="0"/>
            <w:strike w:val="0"/>
            <w:color w:val="467886"/>
            <w:sz w:val="16"/>
            <w:szCs w:val="16"/>
            <w:u w:val="none"/>
            <w:rtl w:val="0"/>
          </w:rPr>
          <w:t xml:space="preserve">https://totalprotect.mx/</w:t>
        </w:r>
      </w:hyperlink>
      <w:r w:rsidDel="00000000" w:rsidR="00000000" w:rsidRPr="00000000">
        <w:rPr>
          <w:rFonts w:ascii="Arial" w:cs="Arial" w:eastAsia="Arial" w:hAnsi="Arial"/>
          <w:b w:val="0"/>
          <w:i w:val="0"/>
          <w:strike w:val="0"/>
          <w:color w:val="000000"/>
          <w:sz w:val="16"/>
          <w:szCs w:val="16"/>
          <w:u w:val="none"/>
          <w:rtl w:val="0"/>
        </w:rPr>
        <w:t xml:space="preserve">.</w:t>
      </w:r>
    </w:p>
    <w:p w:rsidR="00000000" w:rsidDel="00000000" w:rsidP="00000000" w:rsidRDefault="00000000" w:rsidRPr="00000000" w14:paraId="00000013">
      <w:pPr>
        <w:spacing w:after="160" w:before="0" w:lineRule="auto"/>
        <w:jc w:val="both"/>
        <w:rPr>
          <w:rFonts w:ascii="Arial" w:cs="Arial" w:eastAsia="Arial" w:hAnsi="Arial"/>
          <w:b w:val="1"/>
          <w:i w:val="0"/>
          <w:strike w:val="0"/>
          <w:color w:val="000000"/>
          <w:sz w:val="16"/>
          <w:szCs w:val="16"/>
          <w:u w:val="none"/>
        </w:rPr>
      </w:pPr>
      <w:r w:rsidDel="00000000" w:rsidR="00000000" w:rsidRPr="00000000">
        <w:rPr>
          <w:rFonts w:ascii="Arial" w:cs="Arial" w:eastAsia="Arial" w:hAnsi="Arial"/>
          <w:b w:val="1"/>
          <w:i w:val="0"/>
          <w:strike w:val="0"/>
          <w:color w:val="000000"/>
          <w:sz w:val="16"/>
          <w:szCs w:val="16"/>
          <w:u w:val="none"/>
          <w:rtl w:val="0"/>
        </w:rPr>
        <w:t xml:space="preserve">Síguenos en: </w:t>
      </w:r>
    </w:p>
    <w:p w:rsidR="00000000" w:rsidDel="00000000" w:rsidP="00000000" w:rsidRDefault="00000000" w:rsidRPr="00000000" w14:paraId="00000014">
      <w:pPr>
        <w:spacing w:after="0" w:before="0" w:lineRule="auto"/>
        <w:jc w:val="both"/>
        <w:rPr>
          <w:rFonts w:ascii="Arial" w:cs="Arial" w:eastAsia="Arial" w:hAnsi="Arial"/>
          <w:sz w:val="16"/>
          <w:szCs w:val="16"/>
        </w:rPr>
      </w:pPr>
      <w:r w:rsidDel="00000000" w:rsidR="00000000" w:rsidRPr="00000000">
        <w:rPr>
          <w:rFonts w:ascii="Arial" w:cs="Arial" w:eastAsia="Arial" w:hAnsi="Arial"/>
          <w:b w:val="0"/>
          <w:i w:val="0"/>
          <w:strike w:val="0"/>
          <w:color w:val="000000"/>
          <w:sz w:val="16"/>
          <w:szCs w:val="16"/>
          <w:u w:val="none"/>
          <w:rtl w:val="0"/>
        </w:rPr>
        <w:t xml:space="preserve">LinkedIn: </w:t>
      </w:r>
      <w:hyperlink r:id="rId9">
        <w:r w:rsidDel="00000000" w:rsidR="00000000" w:rsidRPr="00000000">
          <w:rPr>
            <w:rFonts w:ascii="Arial" w:cs="Arial" w:eastAsia="Arial" w:hAnsi="Arial"/>
            <w:b w:val="0"/>
            <w:i w:val="0"/>
            <w:strike w:val="0"/>
            <w:color w:val="467886"/>
            <w:sz w:val="16"/>
            <w:szCs w:val="16"/>
            <w:u w:val="none"/>
            <w:rtl w:val="0"/>
          </w:rPr>
          <w:t xml:space="preserve">https://www.linkedin.com/company/totalprotect1/</w:t>
        </w:r>
      </w:hyperlink>
      <w:r w:rsidDel="00000000" w:rsidR="00000000" w:rsidRPr="00000000">
        <w:rPr>
          <w:rtl w:val="0"/>
        </w:rPr>
      </w:r>
    </w:p>
    <w:p w:rsidR="00000000" w:rsidDel="00000000" w:rsidP="00000000" w:rsidRDefault="00000000" w:rsidRPr="00000000" w14:paraId="00000015">
      <w:pPr>
        <w:spacing w:after="0" w:before="0" w:lineRule="auto"/>
        <w:jc w:val="both"/>
        <w:rPr>
          <w:rFonts w:ascii="Arial" w:cs="Arial" w:eastAsia="Arial" w:hAnsi="Arial"/>
          <w:sz w:val="16"/>
          <w:szCs w:val="16"/>
        </w:rPr>
      </w:pPr>
      <w:r w:rsidDel="00000000" w:rsidR="00000000" w:rsidRPr="00000000">
        <w:rPr>
          <w:rFonts w:ascii="Arial" w:cs="Arial" w:eastAsia="Arial" w:hAnsi="Arial"/>
          <w:b w:val="0"/>
          <w:i w:val="0"/>
          <w:strike w:val="0"/>
          <w:color w:val="000000"/>
          <w:sz w:val="16"/>
          <w:szCs w:val="16"/>
          <w:u w:val="none"/>
          <w:rtl w:val="0"/>
        </w:rPr>
        <w:t xml:space="preserve">Facebook: </w:t>
      </w:r>
      <w:hyperlink r:id="rId10">
        <w:r w:rsidDel="00000000" w:rsidR="00000000" w:rsidRPr="00000000">
          <w:rPr>
            <w:rFonts w:ascii="Arial" w:cs="Arial" w:eastAsia="Arial" w:hAnsi="Arial"/>
            <w:b w:val="0"/>
            <w:i w:val="0"/>
            <w:strike w:val="0"/>
            <w:color w:val="467886"/>
            <w:sz w:val="16"/>
            <w:szCs w:val="16"/>
            <w:u w:val="none"/>
            <w:rtl w:val="0"/>
          </w:rPr>
          <w:t xml:space="preserve">https://www.facebook.com/people/Total-Protect/100091312624811/</w:t>
        </w:r>
      </w:hyperlink>
      <w:r w:rsidDel="00000000" w:rsidR="00000000" w:rsidRPr="00000000">
        <w:rPr>
          <w:rtl w:val="0"/>
        </w:rPr>
      </w:r>
    </w:p>
    <w:p w:rsidR="00000000" w:rsidDel="00000000" w:rsidP="00000000" w:rsidRDefault="00000000" w:rsidRPr="00000000" w14:paraId="00000016">
      <w:pPr>
        <w:spacing w:after="0" w:before="0" w:lineRule="auto"/>
        <w:jc w:val="both"/>
        <w:rPr>
          <w:rFonts w:ascii="Arial" w:cs="Arial" w:eastAsia="Arial" w:hAnsi="Arial"/>
          <w:sz w:val="16"/>
          <w:szCs w:val="16"/>
        </w:rPr>
      </w:pPr>
      <w:r w:rsidDel="00000000" w:rsidR="00000000" w:rsidRPr="00000000">
        <w:rPr>
          <w:rFonts w:ascii="Arial" w:cs="Arial" w:eastAsia="Arial" w:hAnsi="Arial"/>
          <w:b w:val="0"/>
          <w:i w:val="0"/>
          <w:strike w:val="0"/>
          <w:color w:val="000000"/>
          <w:sz w:val="16"/>
          <w:szCs w:val="16"/>
          <w:u w:val="none"/>
          <w:rtl w:val="0"/>
        </w:rPr>
        <w:t xml:space="preserve">Instagram: </w:t>
      </w:r>
      <w:hyperlink r:id="rId11">
        <w:r w:rsidDel="00000000" w:rsidR="00000000" w:rsidRPr="00000000">
          <w:rPr>
            <w:rFonts w:ascii="Arial" w:cs="Arial" w:eastAsia="Arial" w:hAnsi="Arial"/>
            <w:b w:val="0"/>
            <w:i w:val="0"/>
            <w:strike w:val="0"/>
            <w:color w:val="467886"/>
            <w:sz w:val="16"/>
            <w:szCs w:val="16"/>
            <w:u w:val="none"/>
            <w:rtl w:val="0"/>
          </w:rPr>
          <w:t xml:space="preserve">https://www.instagram.com/totalprotect_/</w:t>
        </w:r>
      </w:hyperlink>
      <w:r w:rsidDel="00000000" w:rsidR="00000000" w:rsidRPr="00000000">
        <w:rPr>
          <w:rtl w:val="0"/>
        </w:rPr>
      </w:r>
    </w:p>
    <w:p w:rsidR="00000000" w:rsidDel="00000000" w:rsidP="00000000" w:rsidRDefault="00000000" w:rsidRPr="00000000" w14:paraId="00000017">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spacing w:after="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1"/>
          <w:i w:val="0"/>
          <w:strike w:val="0"/>
          <w:color w:val="000000"/>
          <w:sz w:val="16"/>
          <w:szCs w:val="16"/>
          <w:u w:val="none"/>
          <w:rtl w:val="0"/>
        </w:rPr>
        <w:t xml:space="preserve">Contacto de prensa: </w:t>
      </w:r>
      <w:r w:rsidDel="00000000" w:rsidR="00000000" w:rsidRPr="00000000">
        <w:rPr>
          <w:rtl w:val="0"/>
        </w:rPr>
        <w:br w:type="textWrapping"/>
      </w:r>
      <w:r w:rsidDel="00000000" w:rsidR="00000000" w:rsidRPr="00000000">
        <w:rPr>
          <w:rFonts w:ascii="Arial" w:cs="Arial" w:eastAsia="Arial" w:hAnsi="Arial"/>
          <w:b w:val="0"/>
          <w:i w:val="0"/>
          <w:strike w:val="0"/>
          <w:color w:val="000000"/>
          <w:sz w:val="16"/>
          <w:szCs w:val="16"/>
          <w:u w:val="none"/>
          <w:rtl w:val="0"/>
        </w:rPr>
        <w:t xml:space="preserve">Tanya Belmont, Sr. PR Expert – another</w:t>
      </w:r>
    </w:p>
    <w:p w:rsidR="00000000" w:rsidDel="00000000" w:rsidP="00000000" w:rsidRDefault="00000000" w:rsidRPr="00000000" w14:paraId="00000019">
      <w:pPr>
        <w:spacing w:after="0" w:before="0" w:lineRule="auto"/>
        <w:jc w:val="both"/>
        <w:rPr>
          <w:rFonts w:ascii="Arial" w:cs="Arial" w:eastAsia="Arial" w:hAnsi="Arial"/>
          <w:sz w:val="16"/>
          <w:szCs w:val="16"/>
        </w:rPr>
      </w:pPr>
      <w:r w:rsidDel="00000000" w:rsidR="00000000" w:rsidRPr="00000000">
        <w:rPr>
          <w:rFonts w:ascii="Arial" w:cs="Arial" w:eastAsia="Arial" w:hAnsi="Arial"/>
          <w:b w:val="0"/>
          <w:i w:val="0"/>
          <w:strike w:val="0"/>
          <w:color w:val="467886"/>
          <w:sz w:val="16"/>
          <w:szCs w:val="16"/>
          <w:u w:val="none"/>
          <w:rtl w:val="0"/>
        </w:rPr>
        <w:t xml:space="preserve">tanya</w:t>
      </w:r>
      <w:hyperlink r:id="rId12">
        <w:r w:rsidDel="00000000" w:rsidR="00000000" w:rsidRPr="00000000">
          <w:rPr>
            <w:rFonts w:ascii="Arial" w:cs="Arial" w:eastAsia="Arial" w:hAnsi="Arial"/>
            <w:b w:val="0"/>
            <w:i w:val="0"/>
            <w:strike w:val="0"/>
            <w:color w:val="467886"/>
            <w:sz w:val="16"/>
            <w:szCs w:val="16"/>
            <w:u w:val="none"/>
            <w:rtl w:val="0"/>
          </w:rPr>
          <w:t xml:space="preserve">@another.co</w:t>
        </w:r>
      </w:hyperlink>
      <w:r w:rsidDel="00000000" w:rsidR="00000000" w:rsidRPr="00000000">
        <w:rPr>
          <w:rtl w:val="0"/>
        </w:rPr>
      </w:r>
    </w:p>
    <w:p w:rsidR="00000000" w:rsidDel="00000000" w:rsidP="00000000" w:rsidRDefault="00000000" w:rsidRPr="00000000" w14:paraId="0000001A">
      <w:pPr>
        <w:spacing w:after="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0"/>
          <w:i w:val="0"/>
          <w:strike w:val="0"/>
          <w:color w:val="000000"/>
          <w:sz w:val="16"/>
          <w:szCs w:val="16"/>
          <w:u w:val="none"/>
          <w:rtl w:val="0"/>
        </w:rPr>
        <w:t xml:space="preserve">55 6211 9370 </w:t>
      </w:r>
    </w:p>
    <w:p w:rsidR="00000000" w:rsidDel="00000000" w:rsidP="00000000" w:rsidRDefault="00000000" w:rsidRPr="00000000" w14:paraId="0000001B">
      <w:pPr>
        <w:spacing w:after="0" w:before="0" w:lineRule="auto"/>
        <w:jc w:val="both"/>
        <w:rPr>
          <w:rFonts w:ascii="Arial" w:cs="Arial" w:eastAsia="Arial" w:hAnsi="Arial"/>
          <w:b w:val="0"/>
          <w:i w:val="0"/>
          <w:strike w:val="0"/>
          <w:color w:val="000000"/>
          <w:sz w:val="16"/>
          <w:szCs w:val="16"/>
          <w:u w:val="none"/>
        </w:rPr>
      </w:pPr>
      <w:r w:rsidDel="00000000" w:rsidR="00000000" w:rsidRPr="00000000">
        <w:rPr>
          <w:rtl w:val="0"/>
        </w:rPr>
      </w:r>
    </w:p>
    <w:p w:rsidR="00000000" w:rsidDel="00000000" w:rsidP="00000000" w:rsidRDefault="00000000" w:rsidRPr="00000000" w14:paraId="0000001C">
      <w:pPr>
        <w:spacing w:after="160" w:before="0" w:lineRule="auto"/>
        <w:jc w:val="both"/>
        <w:rPr>
          <w:rFonts w:ascii="Arial" w:cs="Arial" w:eastAsia="Arial" w:hAnsi="Arial"/>
          <w:b w:val="0"/>
          <w:i w:val="0"/>
          <w:strike w:val="0"/>
          <w:color w:val="000000"/>
          <w:sz w:val="16"/>
          <w:szCs w:val="16"/>
          <w:u w:val="none"/>
        </w:rPr>
      </w:pPr>
      <w:r w:rsidDel="00000000" w:rsidR="00000000" w:rsidRPr="00000000">
        <w:rPr>
          <w:rFonts w:ascii="Arial" w:cs="Arial" w:eastAsia="Arial" w:hAnsi="Arial"/>
          <w:b w:val="0"/>
          <w:i w:val="0"/>
          <w:strike w:val="0"/>
          <w:color w:val="000000"/>
          <w:sz w:val="16"/>
          <w:szCs w:val="16"/>
          <w:u w:val="none"/>
          <w:rtl w:val="0"/>
        </w:rPr>
        <w:t xml:space="preserve">Michelle De la Torre, Sr. PR Expert – another</w:t>
      </w:r>
      <w:r w:rsidDel="00000000" w:rsidR="00000000" w:rsidRPr="00000000">
        <w:rPr>
          <w:rtl w:val="0"/>
        </w:rPr>
        <w:br w:type="textWrapping"/>
      </w:r>
      <w:hyperlink r:id="rId13">
        <w:r w:rsidDel="00000000" w:rsidR="00000000" w:rsidRPr="00000000">
          <w:rPr>
            <w:rFonts w:ascii="Arial" w:cs="Arial" w:eastAsia="Arial" w:hAnsi="Arial"/>
            <w:b w:val="0"/>
            <w:i w:val="0"/>
            <w:strike w:val="0"/>
            <w:color w:val="467886"/>
            <w:sz w:val="16"/>
            <w:szCs w:val="16"/>
            <w:u w:val="none"/>
            <w:rtl w:val="0"/>
          </w:rPr>
          <w:t xml:space="preserve">michelle.delatorre@another.co</w:t>
        </w:r>
      </w:hyperlink>
      <w:hyperlink r:id="rId14">
        <w:r w:rsidDel="00000000" w:rsidR="00000000" w:rsidRPr="00000000">
          <w:rPr>
            <w:rtl w:val="0"/>
          </w:rPr>
          <w:br w:type="textWrapping"/>
        </w:r>
      </w:hyperlink>
      <w:r w:rsidDel="00000000" w:rsidR="00000000" w:rsidRPr="00000000">
        <w:rPr>
          <w:rFonts w:ascii="Arial" w:cs="Arial" w:eastAsia="Arial" w:hAnsi="Arial"/>
          <w:b w:val="0"/>
          <w:i w:val="0"/>
          <w:strike w:val="0"/>
          <w:color w:val="000000"/>
          <w:sz w:val="16"/>
          <w:szCs w:val="16"/>
          <w:u w:val="none"/>
          <w:rtl w:val="0"/>
        </w:rPr>
        <w:t xml:space="preserve">55 4315 4847</w:t>
      </w:r>
    </w:p>
    <w:p w:rsidR="00000000" w:rsidDel="00000000" w:rsidP="00000000" w:rsidRDefault="00000000" w:rsidRPr="00000000" w14:paraId="0000001D">
      <w:pPr>
        <w:jc w:val="center"/>
        <w:rPr>
          <w:rFonts w:ascii="Arial" w:cs="Arial" w:eastAsia="Arial" w:hAnsi="Arial"/>
          <w:b w:val="1"/>
          <w:i w:val="0"/>
          <w:smallCaps w:val="0"/>
          <w:color w:val="000000"/>
          <w:sz w:val="24"/>
          <w:szCs w:val="24"/>
        </w:rPr>
      </w:pPr>
      <w:r w:rsidDel="00000000" w:rsidR="00000000" w:rsidRPr="00000000">
        <w:rPr>
          <w:rtl w:val="0"/>
        </w:rPr>
      </w:r>
    </w:p>
    <w:sectPr>
      <w:headerReference r:id="rId15" w:type="default"/>
      <w:footerReference r:id="rId1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color w:val="000000"/>
        <w:sz w:val="24"/>
        <w:szCs w:val="24"/>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F">
          <w:pPr>
            <w:ind w:left="-115" w:firstLine="0"/>
            <w:jc w:val="left"/>
            <w:rPr/>
          </w:pPr>
          <w:r w:rsidDel="00000000" w:rsidR="00000000" w:rsidRPr="00000000">
            <w:rPr/>
            <w:drawing>
              <wp:inline distB="0" distT="0" distL="114300" distR="114300">
                <wp:extent cx="1685925" cy="476250"/>
                <wp:effectExtent b="0" l="0" r="0" t="0"/>
                <wp:docPr descr="Imagen" id="1922668201" name="image1.png"/>
                <a:graphic>
                  <a:graphicData uri="http://schemas.openxmlformats.org/drawingml/2006/picture">
                    <pic:pic>
                      <pic:nvPicPr>
                        <pic:cNvPr descr="Imagen" id="0" name="image1.png"/>
                        <pic:cNvPicPr preferRelativeResize="0"/>
                      </pic:nvPicPr>
                      <pic:blipFill>
                        <a:blip r:embed="rId1"/>
                        <a:srcRect b="0" l="0" r="0" t="0"/>
                        <a:stretch>
                          <a:fillRect/>
                        </a:stretch>
                      </pic:blipFill>
                      <pic:spPr>
                        <a:xfrm>
                          <a:off x="0" y="0"/>
                          <a:ext cx="1685925" cy="4762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28F57794"/>
    <w:pPr>
      <w:tabs>
        <w:tab w:val="center" w:leader="none" w:pos="4680"/>
        <w:tab w:val="right" w:leader="none" w:pos="9360"/>
      </w:tabs>
      <w:spacing w:after="0" w:line="240" w:lineRule="auto"/>
    </w:pPr>
  </w:style>
  <w:style w:type="paragraph" w:styleId="Footer">
    <w:name w:val="footer"/>
    <w:basedOn w:val="Normal"/>
    <w:uiPriority w:val="99"/>
    <w:unhideWhenUsed w:val="1"/>
    <w:rsid w:val="28F57794"/>
    <w:pPr>
      <w:tabs>
        <w:tab w:val="center" w:leader="none" w:pos="4680"/>
        <w:tab w:val="right" w:leader="none" w:pos="9360"/>
      </w:tabs>
      <w:spacing w:after="0" w:line="240" w:lineRule="auto"/>
    </w:pPr>
  </w:style>
  <w:style w:type="paragraph" w:styleId="ListParagraph">
    <w:name w:val="List Paragraph"/>
    <w:basedOn w:val="Normal"/>
    <w:uiPriority w:val="34"/>
    <w:qFormat w:val="1"/>
    <w:rsid w:val="28F57794"/>
    <w:pPr>
      <w:spacing/>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65675FC8"/>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totalprotect_/" TargetMode="External"/><Relationship Id="rId10" Type="http://schemas.openxmlformats.org/officeDocument/2006/relationships/hyperlink" Target="https://www.facebook.com/people/Total-Protect/100091312624811/" TargetMode="External"/><Relationship Id="rId13" Type="http://schemas.openxmlformats.org/officeDocument/2006/relationships/hyperlink" Target="mailto:michelle.delatorre@another.co" TargetMode="External"/><Relationship Id="rId12" Type="http://schemas.openxmlformats.org/officeDocument/2006/relationships/hyperlink" Target="mailto:rodrigo.franc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totalprotect1/" TargetMode="External"/><Relationship Id="rId15" Type="http://schemas.openxmlformats.org/officeDocument/2006/relationships/header" Target="header1.xml"/><Relationship Id="rId14" Type="http://schemas.openxmlformats.org/officeDocument/2006/relationships/hyperlink" Target="mailto:michelle.delatorre@another.c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otalprotect.mx/" TargetMode="External"/><Relationship Id="rId8" Type="http://schemas.openxmlformats.org/officeDocument/2006/relationships/hyperlink" Target="https://totalprotec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8yoTjsqY5v/NMnwREJPWiuMOA==">CgMxLjA4AHIhMV9raHR2QktxOWxLUUg4ZGhkeVA3dFRJN29TcC1RUnBw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2025-05-13T21:55:43.0000000Z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